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7A" w:rsidRDefault="000D417A" w:rsidP="009A2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Новоурсаевский  сельсовет муниципального района       Бакалинский район  Республики Башкортостан</w:t>
      </w:r>
    </w:p>
    <w:p w:rsidR="000D417A" w:rsidRDefault="000D417A" w:rsidP="009A2B87">
      <w:pPr>
        <w:spacing w:after="0" w:line="240" w:lineRule="auto"/>
        <w:jc w:val="center"/>
        <w:rPr>
          <w:rFonts w:ascii="Times New Roman" w:hAnsi="Times New Roman" w:cs="Times New Roman"/>
          <w:sz w:val="28"/>
          <w:szCs w:val="28"/>
        </w:rPr>
      </w:pPr>
    </w:p>
    <w:p w:rsidR="000D417A" w:rsidRDefault="000D417A" w:rsidP="009A2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0D417A" w:rsidRDefault="000D417A" w:rsidP="009A2B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15 ноября  2016 года    № 60</w:t>
      </w:r>
    </w:p>
    <w:p w:rsidR="000D417A" w:rsidRDefault="000D417A" w:rsidP="009A2B87">
      <w:pPr>
        <w:autoSpaceDE w:val="0"/>
        <w:autoSpaceDN w:val="0"/>
        <w:adjustRightInd w:val="0"/>
        <w:spacing w:after="0" w:line="240" w:lineRule="auto"/>
        <w:jc w:val="center"/>
        <w:rPr>
          <w:rFonts w:ascii="Times New Roman" w:hAnsi="Times New Roman" w:cs="Times New Roman"/>
          <w:b/>
          <w:bCs/>
          <w:sz w:val="28"/>
          <w:szCs w:val="28"/>
        </w:rPr>
      </w:pP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порядке юридического и технического оформления проектов муниципальных нормативных правовых актов»</w:t>
      </w: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p>
    <w:p w:rsidR="000D417A" w:rsidRDefault="000D417A" w:rsidP="009A2B87">
      <w:pPr>
        <w:autoSpaceDE w:val="0"/>
        <w:autoSpaceDN w:val="0"/>
        <w:adjustRightInd w:val="0"/>
        <w:spacing w:after="0" w:line="240" w:lineRule="auto"/>
        <w:jc w:val="center"/>
        <w:rPr>
          <w:rFonts w:ascii="Times New Roman" w:hAnsi="Times New Roman" w:cs="Times New Roman"/>
          <w:sz w:val="16"/>
          <w:szCs w:val="16"/>
        </w:rPr>
      </w:pPr>
    </w:p>
    <w:p w:rsidR="000D417A" w:rsidRDefault="000D417A" w:rsidP="009A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основании статьи 43 Федерального закона от 06.10.2003 N 131-ФЗ "Об общих принципах организации местного самоуправления в Российской Федерации" и руководствуясь Уставом  сельского поселения Новоурсаевский  сельсовет муниципального района Бакалинский район Республики Башкортостан,</w:t>
      </w:r>
    </w:p>
    <w:p w:rsidR="000D417A" w:rsidRDefault="000D417A" w:rsidP="009A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Совет сельского поселения Новоурсаевский  сельсовет муниципального района Бакалинский район Республики Башкортостан</w:t>
      </w:r>
    </w:p>
    <w:p w:rsidR="000D417A" w:rsidRDefault="000D417A" w:rsidP="009A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РЕШИЛ:         </w:t>
      </w:r>
    </w:p>
    <w:p w:rsidR="000D417A" w:rsidRDefault="000D417A" w:rsidP="009A2B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4" w:anchor="Par39" w:history="1">
        <w:r>
          <w:rPr>
            <w:rStyle w:val="Hyperlink"/>
            <w:rFonts w:ascii="Times New Roman" w:hAnsi="Times New Roman" w:cs="Times New Roman"/>
            <w:color w:val="auto"/>
            <w:sz w:val="28"/>
            <w:szCs w:val="28"/>
            <w:u w:val="none"/>
          </w:rPr>
          <w:t>Положение</w:t>
        </w:r>
      </w:hyperlink>
      <w:r>
        <w:rPr>
          <w:rFonts w:ascii="Times New Roman" w:hAnsi="Times New Roman" w:cs="Times New Roman"/>
          <w:sz w:val="28"/>
          <w:szCs w:val="28"/>
        </w:rPr>
        <w:t xml:space="preserve"> «О порядке </w:t>
      </w:r>
      <w:r>
        <w:rPr>
          <w:rFonts w:ascii="Times New Roman" w:hAnsi="Times New Roman" w:cs="Times New Roman"/>
          <w:sz w:val="28"/>
          <w:szCs w:val="28"/>
          <w:lang w:eastAsia="ru-RU"/>
        </w:rPr>
        <w:t xml:space="preserve">юридического и технического </w:t>
      </w:r>
      <w:r>
        <w:rPr>
          <w:rFonts w:ascii="Times New Roman" w:hAnsi="Times New Roman" w:cs="Times New Roman"/>
          <w:sz w:val="28"/>
          <w:szCs w:val="28"/>
        </w:rPr>
        <w:t>оформления проектов муниципальных нормативных правовых актов» согласно приложению.</w:t>
      </w:r>
    </w:p>
    <w:p w:rsidR="000D417A" w:rsidRDefault="000D417A" w:rsidP="009A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Установить, что настоящее решение вступает в силу после его официального опубликования (обнародования)  на официальном сайте администрации сельского поселения Новоурсаевский  сельсовет муниципального района Бакалинский район Республики Башкортостан.</w:t>
      </w:r>
    </w:p>
    <w:p w:rsidR="000D417A" w:rsidRDefault="000D417A" w:rsidP="009A2B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Поручить организацию исполнения настоящего решения управляющего делами  в пределах ее компетенции.</w:t>
      </w:r>
    </w:p>
    <w:p w:rsidR="000D417A" w:rsidRDefault="000D417A" w:rsidP="009A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Контроль за ходом выполнения настоящего решения возлагаю на себя.</w:t>
      </w:r>
    </w:p>
    <w:p w:rsidR="000D417A" w:rsidRDefault="000D417A" w:rsidP="009A2B87">
      <w:pPr>
        <w:spacing w:after="0" w:line="240" w:lineRule="auto"/>
        <w:jc w:val="both"/>
        <w:rPr>
          <w:rFonts w:ascii="Times New Roman" w:hAnsi="Times New Roman" w:cs="Times New Roman"/>
          <w:sz w:val="28"/>
          <w:szCs w:val="28"/>
        </w:rPr>
      </w:pPr>
    </w:p>
    <w:p w:rsidR="000D417A" w:rsidRDefault="000D417A" w:rsidP="009A2B87">
      <w:pPr>
        <w:spacing w:after="0" w:line="240" w:lineRule="auto"/>
        <w:jc w:val="both"/>
        <w:rPr>
          <w:rFonts w:ascii="Times New Roman" w:hAnsi="Times New Roman" w:cs="Times New Roman"/>
          <w:sz w:val="28"/>
          <w:szCs w:val="28"/>
        </w:rPr>
      </w:pPr>
    </w:p>
    <w:p w:rsidR="000D417A" w:rsidRDefault="000D417A" w:rsidP="009A2B87">
      <w:pPr>
        <w:spacing w:after="0" w:line="240" w:lineRule="auto"/>
        <w:jc w:val="both"/>
        <w:rPr>
          <w:rFonts w:ascii="Times New Roman" w:hAnsi="Times New Roman" w:cs="Times New Roman"/>
          <w:sz w:val="28"/>
          <w:szCs w:val="28"/>
        </w:rPr>
      </w:pPr>
    </w:p>
    <w:p w:rsidR="000D417A" w:rsidRDefault="000D417A" w:rsidP="009A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0D417A" w:rsidRDefault="000D417A" w:rsidP="009A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Новоурсаевский  сельсовет </w:t>
      </w:r>
    </w:p>
    <w:p w:rsidR="000D417A" w:rsidRDefault="000D417A" w:rsidP="009A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0D417A" w:rsidRDefault="000D417A" w:rsidP="009A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Бакалинский район</w:t>
      </w:r>
    </w:p>
    <w:p w:rsidR="000D417A" w:rsidRDefault="000D417A" w:rsidP="009A2B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Р.А. Кадыргулов</w:t>
      </w:r>
    </w:p>
    <w:p w:rsidR="000D417A" w:rsidRDefault="000D417A" w:rsidP="009A2B87">
      <w:pPr>
        <w:spacing w:after="0" w:line="240" w:lineRule="auto"/>
        <w:jc w:val="both"/>
        <w:rPr>
          <w:rFonts w:ascii="Times New Roman" w:hAnsi="Times New Roman" w:cs="Times New Roman"/>
          <w:sz w:val="28"/>
          <w:szCs w:val="28"/>
        </w:rPr>
      </w:pPr>
    </w:p>
    <w:p w:rsidR="000D417A" w:rsidRDefault="000D417A" w:rsidP="009A2B87">
      <w:pPr>
        <w:autoSpaceDE w:val="0"/>
        <w:autoSpaceDN w:val="0"/>
        <w:adjustRightInd w:val="0"/>
        <w:spacing w:after="0" w:line="240" w:lineRule="auto"/>
        <w:jc w:val="both"/>
        <w:rPr>
          <w:rFonts w:ascii="Times New Roman" w:hAnsi="Times New Roman" w:cs="Times New Roman"/>
          <w:sz w:val="28"/>
          <w:szCs w:val="28"/>
        </w:rPr>
      </w:pPr>
    </w:p>
    <w:p w:rsidR="000D417A" w:rsidRDefault="000D417A" w:rsidP="009A2B87">
      <w:pPr>
        <w:autoSpaceDE w:val="0"/>
        <w:autoSpaceDN w:val="0"/>
        <w:adjustRightInd w:val="0"/>
        <w:spacing w:after="0" w:line="240" w:lineRule="auto"/>
        <w:jc w:val="both"/>
        <w:rPr>
          <w:rFonts w:ascii="Times New Roman" w:hAnsi="Times New Roman" w:cs="Times New Roman"/>
          <w:sz w:val="28"/>
          <w:szCs w:val="28"/>
        </w:rPr>
      </w:pPr>
    </w:p>
    <w:p w:rsidR="000D417A" w:rsidRDefault="000D417A" w:rsidP="009A2B87">
      <w:pPr>
        <w:autoSpaceDE w:val="0"/>
        <w:autoSpaceDN w:val="0"/>
        <w:adjustRightInd w:val="0"/>
        <w:spacing w:after="0" w:line="240" w:lineRule="auto"/>
        <w:ind w:left="4253"/>
        <w:jc w:val="both"/>
        <w:outlineLvl w:val="0"/>
        <w:rPr>
          <w:rFonts w:ascii="Times New Roman" w:hAnsi="Times New Roman" w:cs="Times New Roman"/>
          <w:sz w:val="28"/>
          <w:szCs w:val="28"/>
        </w:rPr>
      </w:pPr>
    </w:p>
    <w:p w:rsidR="000D417A" w:rsidRDefault="000D417A" w:rsidP="009A2B87">
      <w:pPr>
        <w:autoSpaceDE w:val="0"/>
        <w:autoSpaceDN w:val="0"/>
        <w:adjustRightInd w:val="0"/>
        <w:spacing w:after="0" w:line="240" w:lineRule="auto"/>
        <w:ind w:left="4253"/>
        <w:jc w:val="both"/>
        <w:outlineLvl w:val="0"/>
        <w:rPr>
          <w:rFonts w:ascii="Times New Roman" w:hAnsi="Times New Roman" w:cs="Times New Roman"/>
          <w:sz w:val="28"/>
          <w:szCs w:val="28"/>
        </w:rPr>
      </w:pPr>
    </w:p>
    <w:p w:rsidR="000D417A" w:rsidRDefault="000D417A" w:rsidP="009A2B87">
      <w:pPr>
        <w:autoSpaceDE w:val="0"/>
        <w:autoSpaceDN w:val="0"/>
        <w:adjustRightInd w:val="0"/>
        <w:spacing w:after="0" w:line="240" w:lineRule="auto"/>
        <w:ind w:left="4253"/>
        <w:jc w:val="both"/>
        <w:outlineLvl w:val="0"/>
        <w:rPr>
          <w:rFonts w:ascii="Times New Roman" w:hAnsi="Times New Roman" w:cs="Times New Roman"/>
          <w:sz w:val="28"/>
          <w:szCs w:val="28"/>
        </w:rPr>
      </w:pPr>
    </w:p>
    <w:p w:rsidR="000D417A" w:rsidRDefault="000D417A" w:rsidP="009A2B87">
      <w:pPr>
        <w:autoSpaceDE w:val="0"/>
        <w:autoSpaceDN w:val="0"/>
        <w:adjustRightInd w:val="0"/>
        <w:spacing w:after="0" w:line="240" w:lineRule="auto"/>
        <w:ind w:left="4253"/>
        <w:jc w:val="both"/>
        <w:outlineLvl w:val="0"/>
        <w:rPr>
          <w:rFonts w:ascii="Times New Roman" w:hAnsi="Times New Roman" w:cs="Times New Roman"/>
          <w:sz w:val="28"/>
          <w:szCs w:val="28"/>
        </w:rPr>
      </w:pPr>
    </w:p>
    <w:p w:rsidR="000D417A" w:rsidRDefault="000D417A" w:rsidP="009A2B87">
      <w:pPr>
        <w:spacing w:after="0" w:line="240" w:lineRule="auto"/>
        <w:jc w:val="right"/>
        <w:rPr>
          <w:rFonts w:ascii="Times New Roman" w:hAnsi="Times New Roman" w:cs="Times New Roman"/>
          <w:sz w:val="28"/>
          <w:szCs w:val="28"/>
        </w:rPr>
      </w:pPr>
      <w:bookmarkStart w:id="0" w:name="Par39"/>
      <w:bookmarkEnd w:id="0"/>
      <w:r>
        <w:rPr>
          <w:rFonts w:ascii="Times New Roman" w:hAnsi="Times New Roman" w:cs="Times New Roman"/>
          <w:sz w:val="28"/>
          <w:szCs w:val="28"/>
        </w:rPr>
        <w:t>Приложение</w:t>
      </w:r>
    </w:p>
    <w:p w:rsidR="000D417A" w:rsidRDefault="000D417A" w:rsidP="009A2B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сельского поселения Новоурсаевский  сельсовет муниципального района</w:t>
      </w:r>
    </w:p>
    <w:p w:rsidR="000D417A" w:rsidRDefault="000D417A" w:rsidP="009A2B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Бакалинский район Республики Башкортостан</w:t>
      </w:r>
    </w:p>
    <w:p w:rsidR="000D417A" w:rsidRDefault="000D417A" w:rsidP="009A2B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15 ноября 2016 года № 60</w:t>
      </w:r>
    </w:p>
    <w:p w:rsidR="000D417A" w:rsidRDefault="000D417A" w:rsidP="009A2B87">
      <w:pPr>
        <w:autoSpaceDE w:val="0"/>
        <w:autoSpaceDN w:val="0"/>
        <w:adjustRightInd w:val="0"/>
        <w:spacing w:after="0" w:line="240" w:lineRule="auto"/>
        <w:jc w:val="both"/>
        <w:rPr>
          <w:rFonts w:ascii="Times New Roman" w:hAnsi="Times New Roman" w:cs="Times New Roman"/>
          <w:sz w:val="28"/>
          <w:szCs w:val="28"/>
        </w:rPr>
      </w:pPr>
    </w:p>
    <w:p w:rsidR="000D417A" w:rsidRDefault="000D417A" w:rsidP="009A2B87">
      <w:pPr>
        <w:autoSpaceDE w:val="0"/>
        <w:autoSpaceDN w:val="0"/>
        <w:adjustRightInd w:val="0"/>
        <w:spacing w:after="0" w:line="240" w:lineRule="auto"/>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порядке юридического и технического оформления проектов муниципальных нормативных правовых актов»</w:t>
      </w:r>
    </w:p>
    <w:p w:rsidR="000D417A" w:rsidRDefault="000D417A" w:rsidP="009A2B87">
      <w:pPr>
        <w:autoSpaceDE w:val="0"/>
        <w:autoSpaceDN w:val="0"/>
        <w:adjustRightInd w:val="0"/>
        <w:spacing w:after="0" w:line="240" w:lineRule="auto"/>
        <w:jc w:val="both"/>
        <w:rPr>
          <w:rFonts w:ascii="Times New Roman" w:hAnsi="Times New Roman" w:cs="Times New Roman"/>
          <w:sz w:val="28"/>
          <w:szCs w:val="28"/>
        </w:rPr>
      </w:pPr>
    </w:p>
    <w:p w:rsidR="000D417A" w:rsidRDefault="000D417A" w:rsidP="009A2B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определяет порядок </w:t>
      </w:r>
      <w:r>
        <w:rPr>
          <w:rFonts w:ascii="Times New Roman" w:hAnsi="Times New Roman" w:cs="Times New Roman"/>
          <w:sz w:val="28"/>
          <w:szCs w:val="28"/>
          <w:lang w:eastAsia="ru-RU"/>
        </w:rPr>
        <w:t xml:space="preserve">юридического и технического </w:t>
      </w:r>
      <w:r>
        <w:rPr>
          <w:rFonts w:ascii="Times New Roman" w:hAnsi="Times New Roman" w:cs="Times New Roman"/>
          <w:sz w:val="28"/>
          <w:szCs w:val="28"/>
        </w:rPr>
        <w:t>оформления проектов муниципальных нормативных правовых актов (далее – проект МПА)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0D417A" w:rsidRDefault="000D417A" w:rsidP="009A2B87">
      <w:pPr>
        <w:widowControl w:val="0"/>
        <w:autoSpaceDE w:val="0"/>
        <w:autoSpaceDN w:val="0"/>
        <w:adjustRightInd w:val="0"/>
        <w:spacing w:after="0" w:line="240" w:lineRule="auto"/>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center"/>
        <w:outlineLvl w:val="0"/>
        <w:rPr>
          <w:rFonts w:ascii="Times New Roman" w:hAnsi="Times New Roman" w:cs="Times New Roman"/>
          <w:b/>
          <w:bCs/>
          <w:sz w:val="28"/>
          <w:szCs w:val="28"/>
        </w:rPr>
      </w:pPr>
      <w:bookmarkStart w:id="1" w:name="Par10"/>
      <w:bookmarkEnd w:id="1"/>
      <w:r>
        <w:rPr>
          <w:rFonts w:ascii="Times New Roman" w:hAnsi="Times New Roman" w:cs="Times New Roman"/>
          <w:b/>
          <w:bCs/>
          <w:sz w:val="28"/>
          <w:szCs w:val="28"/>
        </w:rPr>
        <w:t>Статья 1. Структура проекта МПА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Преамбула (введение) - самостоятельная часть проекта МПА, которая определяет его цели и задачи, но не является обязательной.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Преамбула: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содержит самостоятельные нормативные предписания;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делится на статьи;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содержит ссылки на другие правовые  акты, подлежащие признанию утратившими силу и изменению в связи с изданием правового акта;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содержит легальные дефиниции;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формулирует предмет регулирования;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нумеруется.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Преамбула предваряет текст проекта МПА.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Структурные единицы проекта МПА не могут иметь преамбулу.</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Деление проекта МПА на структурные единицы упрощает пользование им, улучшает его внутреннее построение и систематизацию, осуществление ссылок, помогает быстро ориентироваться в нормативном материале.</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Употребляются следующие структурные единицы правовых актов по нисходящей: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Вводить структурную единицу "раздел", если в проекте МПА нет глав, не следует.</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 деление крупных систематизированных проектов МПА на части, разделов на подразделы, глав на параграфы.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Часть проекта МПА: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обозначается словами: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ЧАСТЬ ПЕРВАЯ;</w:t>
      </w: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ЧАСТЬ ВТОРАЯ</w:t>
      </w: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может иметь наименование:</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ЧАСТЬ ПЕРВАЯ</w:t>
      </w: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Обозначение и наименование части проекта МПА печатаются прописными буквами по центру страницы одно под другим.</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части проекта МПА печатается полужирным шрифтом.</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Раздел:</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порядковый номер, обозначаемый римскими цифрами;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наименование.</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Обозначение и наименование раздела печатаются прописными буквами по центру страницы одно под другим.</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раздела печатается полужирным шрифтом.</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I</w:t>
      </w:r>
    </w:p>
    <w:p w:rsidR="000D417A" w:rsidRDefault="000D417A" w:rsidP="009A2B87">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ОРГАНЫ МЕСТНОГО САМОУПРАВЛЕНИЯ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Подраздел:</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порядковый номер, обозначаемый римскими цифрами;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наименование.</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Обозначение подраздела печатается с прописной буквы и абзацного отступа.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Подраздел I. Глава муниципального образования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Глава: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нумеруется арабскими цифрами;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наименование.</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Обозначение главы печатается с прописной буквы и абзацного отступа.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5. Права, обязанности и ответственность в области пожарной безопасности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Параграф:</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обозначается знаком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порядковый номер, обозначаемый арабскими цифрами;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наименование.</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1. Муниципальная служба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b/>
          <w:bCs/>
          <w:sz w:val="28"/>
          <w:szCs w:val="28"/>
        </w:rPr>
        <w:t xml:space="preserve"> </w:t>
      </w:r>
      <w:r>
        <w:rPr>
          <w:rFonts w:ascii="Times New Roman" w:hAnsi="Times New Roman" w:cs="Times New Roman"/>
          <w:sz w:val="28"/>
          <w:szCs w:val="28"/>
        </w:rPr>
        <w:t>Статья проекта МПА: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является его основной структурной единицей;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порядковый номер, обозначаемый арабскими цифрами;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 наименование, но в исключительных случаях может его не иметь.</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33. Полномочия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(часть 1)</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(часть 2)</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Или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33</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Обозначение статьи печатается с прописной буквы и абзацного отступа.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подразделяется на части.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Части статьи обозначаются арабской цифрой с точкой.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Части статей подразделяются на пункты, обозначаемые арабскими цифрами с закрывающей круглой скобкой.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Пункты подразделяются на подпункты, обозначаемые строчными буквами русского алфавита с закрывающей круглой скобкой.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33. Полномочия</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 части 2)</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 части 2)</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     (подпункт "а" пункта 2 части 2)</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     (подпункт "б" пункта 2 части 2)</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или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33</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(часть 1)</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 части 2)</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 части 2)</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     (подпункт "а" пункта 2 части 2)</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     (подпункт "б" пункта 2 части 2)</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МПА.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Деление частей в статье либо частей в разных статьях одного проекта МПА и на пункты, и на абзацы, которые в тексте частей будут следовать после двоеточия, не допускается.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Деление пунктов в частях статьи либо в разных статьях одного проекта МПА и на подпункты, и на абзацы, которые в тексте пункта будут следовать после двоеточия, не допускается.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Проекты МПА о внесении изменений в правовые акты, а также проекты МПА, содержащие перечни правовых актов, признаваемых утратившими силу, имеют особую структуру статьи. Такие проекты МПА: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имеют наименований статей;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делятся на пункты, нумеруемые арабскими цифрами с закрывающей круглой скобкой, или на абзацы, не имеющие обозначений.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Пункты могут делиться на подпункты, обозначаемые строчными буквами русского алфавита с закрывающей круглой скобкой.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Внести в Решение Совета депутатов МО .......... "Об ..........." следующие изменения:</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                       (пункт 3)</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 .......;         (подпункт "а" пункта 3)</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 .......;         (подпункт "б" пункта 3)</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                       (пункт 4)</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или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Внести в Решение Совета депутатов МО .......... "Об ..........." следующие изменения:</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пятый)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или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(пункт 1)</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(пункт 2)</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                    (пункт 3)</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                    (пункт 4)</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                    (пункт 5)</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 .........                    (пункт 6)</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или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Признать утратившими силу:</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Нумерация статей, глав, разделов и других структурных единиц проекта МПА должна быть сквозной. Недопустима, например, отдельная нумерация статей каждой главы или отдельная нумерация глав каждого раздела.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правового акта.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утратившими силу структурных единиц статьи правового акта.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2</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Внести в решение Совета депутатов МО ..... от ... N ... "Об ..........." следующие изменения: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дополнить статьей 15.1 следующего содержания: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15.1.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статье 16:</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часть 2 дополнить пунктом 2.1 следующего содержания: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 3 части 4 дополнить подпунктом "б.2" следующего содержания: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"б.2)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Целесообразно избегать включения в проект МПА примечаний к статьям, главам, разделам, частям или проекту МПА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b/>
          <w:bCs/>
          <w:sz w:val="28"/>
          <w:szCs w:val="28"/>
        </w:rPr>
        <w:t xml:space="preserve"> </w:t>
      </w:r>
      <w:r>
        <w:rPr>
          <w:rFonts w:ascii="Times New Roman" w:hAnsi="Times New Roman" w:cs="Times New Roman"/>
          <w:sz w:val="28"/>
          <w:szCs w:val="28"/>
        </w:rPr>
        <w:t>Проекты МПА могут иметь приложения, в которых помещаются положения, перечни, таблицы, графики, тарифы, карты, образцы бланков, документов, схем и т.д.</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к проекту МПА имеется несколько приложений, то они нумеруются арабскими цифрами без указания знака N. При ссылках на приложения в тексте проекта МПА знак N также не указывается.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приложению 4 к решению Совета депутатов</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Юридическая сила приложений и законодательного акта, к которому они относятся, одинакова.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Обозначение приложения располагается в правом верхнем углу страницы после текста проекта МПА без указания на регистрационный номер и дату подписания законодательного акта.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w:t>
      </w:r>
    </w:p>
    <w:p w:rsidR="000D417A" w:rsidRDefault="000D417A" w:rsidP="009A2B87">
      <w:pPr>
        <w:widowControl w:val="0"/>
        <w:autoSpaceDE w:val="0"/>
        <w:autoSpaceDN w:val="0"/>
        <w:adjustRightInd w:val="0"/>
        <w:spacing w:after="0" w:line="240" w:lineRule="auto"/>
        <w:jc w:val="right"/>
        <w:rPr>
          <w:rFonts w:ascii="Times New Roman" w:hAnsi="Times New Roman" w:cs="Times New Roman"/>
          <w:sz w:val="28"/>
          <w:szCs w:val="28"/>
        </w:rPr>
      </w:pPr>
      <w:bookmarkStart w:id="2" w:name="_GoBack"/>
      <w:bookmarkEnd w:id="2"/>
      <w:r>
        <w:rPr>
          <w:rFonts w:ascii="Times New Roman" w:hAnsi="Times New Roman" w:cs="Times New Roman"/>
          <w:sz w:val="28"/>
          <w:szCs w:val="28"/>
        </w:rPr>
        <w:t>Приложение</w:t>
      </w:r>
    </w:p>
    <w:p w:rsidR="000D417A" w:rsidRDefault="000D417A" w:rsidP="009A2B8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 "Об ....."</w:t>
      </w:r>
    </w:p>
    <w:p w:rsidR="000D417A" w:rsidRDefault="000D417A" w:rsidP="009A2B8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 № _____</w:t>
      </w:r>
    </w:p>
    <w:p w:rsidR="000D417A" w:rsidRDefault="000D417A" w:rsidP="009A2B8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или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0D417A" w:rsidRDefault="000D417A" w:rsidP="009A2B8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 "Об ....."</w:t>
      </w:r>
    </w:p>
    <w:p w:rsidR="000D417A" w:rsidRDefault="000D417A" w:rsidP="009A2B87">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 № _____</w:t>
      </w:r>
    </w:p>
    <w:p w:rsidR="000D417A" w:rsidRDefault="000D417A" w:rsidP="009A2B87">
      <w:pPr>
        <w:widowControl w:val="0"/>
        <w:autoSpaceDE w:val="0"/>
        <w:autoSpaceDN w:val="0"/>
        <w:adjustRightInd w:val="0"/>
        <w:spacing w:after="0" w:line="240" w:lineRule="auto"/>
        <w:jc w:val="right"/>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приложения располагается по центру страницы.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center"/>
        <w:outlineLvl w:val="0"/>
        <w:rPr>
          <w:rFonts w:ascii="Times New Roman" w:hAnsi="Times New Roman" w:cs="Times New Roman"/>
          <w:b/>
          <w:bCs/>
          <w:sz w:val="28"/>
          <w:szCs w:val="28"/>
        </w:rPr>
      </w:pPr>
      <w:bookmarkStart w:id="3" w:name="Par327"/>
      <w:bookmarkEnd w:id="3"/>
    </w:p>
    <w:p w:rsidR="000D417A" w:rsidRDefault="000D417A" w:rsidP="009A2B87">
      <w:pPr>
        <w:widowControl w:val="0"/>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Статья 2. Порядок употребления ссылок</w:t>
      </w:r>
    </w:p>
    <w:p w:rsidR="000D417A" w:rsidRDefault="000D417A" w:rsidP="009A2B87">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bCs/>
          <w:sz w:val="28"/>
          <w:szCs w:val="28"/>
        </w:rPr>
        <w:t xml:space="preserve"> </w:t>
      </w:r>
      <w:r>
        <w:rPr>
          <w:rFonts w:ascii="Times New Roman" w:hAnsi="Times New Roman" w:cs="Times New Roman"/>
          <w:sz w:val="28"/>
          <w:szCs w:val="28"/>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Ссылки можно делать только на вступившие в силу (введенные в действие) правовые акты. Ссылки на утратившие силу правовые  акты и проекты МПА недопустимы.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необходимости сделать ссылку в проекте МПА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номера правового акта указываются его вид, дата подписания и наименование правового акта.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Вид конкретного законодательного акта указывается с прописной буквы.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неоднократных ссылках на один и тот же правовой акт при первом его упоминании применяется следующая форма: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Совета депутатов от............. года N ......... "Об утверждении структуры администрации" (далее - Решение "Об утверждении структуры администрации").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Ссылки на Конституцию Российской Федерации оформляются следующим образом:</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5 Конституции Российской Федерации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ссылке на кодекс дата подписания и регистрационный номер кодекса не указываются.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регулируются Трудовым кодексом Российской Федерации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частью второй Гражданского кодекса Российской Федерации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При ссылках на конкретную статью кодекса, состоящего из нескольких частей, номер части кодекса не указывается.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порядке, установленном статьей 20 Налогового кодекса Российской Федерации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924 Гражданского кодекса Российской Федерации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4 части 2 статьи 10 Федерального закона от ... N ...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подпункт "а.2" пункта 2 части 1 статьи 5</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подпункт "в" пункта 1 части 2 статьи 5</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5</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разделы III и IV</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Обозначения абзацев при ссылках на них указываются словами.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абзац второй части 1 статьи 1</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абзацем первым части 1 статьи 1</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первым считается тот абзац, с которого начинается структурная единица, в составе которой он находится.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33. Контрольно-счетный орган</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    (абзац первый части 1)</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второй части 1)</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третий части 1)</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(абзац четвертый части 1)</w:t>
      </w:r>
    </w:p>
    <w:p w:rsidR="000D417A" w:rsidRDefault="000D417A" w:rsidP="009A2B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   (часть 2).</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Ссылки на структурные единицы одного и того же правового акта оформляются следующим образом:</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содержащиеся в главе 3 настоящего Положения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положениями настоящей главы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частью 3.2 статьи 5 настоящего Порядка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 части 1 настоящей статьи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содержащиеся в параграфе 2 настоящей главы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Ссылки в правовых  актах могут даваться на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тексте проекта МПА недопустимы ссылки на нормативные предписания других правовых  актов, которые, в свою очередь, являются отсылочными.</w:t>
      </w:r>
    </w:p>
    <w:p w:rsidR="000D417A" w:rsidRDefault="000D417A" w:rsidP="009A2B87">
      <w:pPr>
        <w:widowControl w:val="0"/>
        <w:autoSpaceDE w:val="0"/>
        <w:autoSpaceDN w:val="0"/>
        <w:adjustRightInd w:val="0"/>
        <w:spacing w:after="0" w:line="240" w:lineRule="auto"/>
        <w:ind w:firstLine="540"/>
        <w:outlineLvl w:val="0"/>
        <w:rPr>
          <w:rFonts w:ascii="Times New Roman" w:hAnsi="Times New Roman" w:cs="Times New Roman"/>
          <w:b/>
          <w:bCs/>
          <w:sz w:val="28"/>
          <w:szCs w:val="28"/>
        </w:rPr>
      </w:pPr>
      <w:bookmarkStart w:id="4" w:name="Par512"/>
      <w:bookmarkEnd w:id="4"/>
      <w:r>
        <w:rPr>
          <w:rFonts w:ascii="Times New Roman" w:hAnsi="Times New Roman" w:cs="Times New Roman"/>
          <w:b/>
          <w:bCs/>
          <w:sz w:val="28"/>
          <w:szCs w:val="28"/>
        </w:rPr>
        <w:t>Статья 3. Внесение изменений в правовые акты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Внесением изменений считается: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замена слов, цифр;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исключение слов, цифр, предложений;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исключение структурных единиц не вступившего в силу правового акта;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новая редакция структурной единицы правового акта;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дополнение структурной единицы статьи правового акта новыми словами, цифрами или предложениями;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дополнение структурными единицами правового акта;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приостановление действия правового акта или его структурных единиц;</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продление действия правового акта или его структурных единиц.</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Независимо от конкретного содержания проекта МПА, т.е. независимо от того, имеются ли в тексте проекта МПА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 акта всегда содержит только слово "изменение" в соответствующем числе и оформляется следующим образом:</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w:t>
      </w: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изменения в Устав МО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Или О внесении изменений в решение Совета депутатов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То же правило действует в отношении абзаца первого каждой статьи, если статья содержит два или более изменения: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Внесение в основной правовой акт правовых норм временного характера не допускается.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правовой акт.</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Часть 1 статьи 7 Устава МО ......  дополнить предложением следующего содержания: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или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подпункте "в" пункта 2 части 1 статьи 7 слова "..." заменить словами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При внесении дополнений в статью, часть статьи, пункт, подпункт, абзац указываются слова, после которых это дополнение должно находиться.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статью 1 после слов "..." дополнить словами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 1 статьи 1 дополнить словами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статью 2 дополнить частью 3 следующего содержания: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часть 5 статьи 6 дополнить пунктом 4 следующего содержания: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пункт 3 части 3 статьи 7 дополнить подпунктом 5 следующего содержания: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Необходимая в ряде таких случаев замена знака препинания осуществляется при подготовке текущей редакции правового акта (без оговорки в тексте проекта МПА).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целях сохранения структуры статьи: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дополнение абзацами может производиться только в конец соответствующей структурной единицы;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Новая редакция правового акта в целом, как правило, не допускается.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Структурная единица правового акта излагается в новой редакции в случаях, если: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внести существенные изменения в данную структурную единицу;</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неоднократно вносились изменения в текст структурной единицы правового акта.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При необходимости изложить одну структурную единицу правового акта в новой редакции применяется следующая формулировка: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Внести в статью 16 Устава МО "..."  изменение, изложив ее в следующей редакции:</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16.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данном случае наименование правового акта должно быть следующим:</w:t>
      </w: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изменения</w:t>
      </w:r>
    </w:p>
    <w:p w:rsidR="000D417A" w:rsidRDefault="000D417A" w:rsidP="009A2B8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статью 16 Устава МО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При необходимости заменить цифровые обозначения употребляется термин "цифры", а не "числа".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цифры "12, 14, 125" заменить цифрами "13, 15, 126"</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При необходимости заменить слова и цифры употребляется термин "слова".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слова "в 50 раз" заменить словами "в 100 раз"</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D417A" w:rsidRDefault="000D417A" w:rsidP="009A2B87">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0D417A" w:rsidRDefault="000D417A" w:rsidP="009A2B87">
      <w:pPr>
        <w:widowControl w:val="0"/>
        <w:autoSpaceDE w:val="0"/>
        <w:autoSpaceDN w:val="0"/>
        <w:adjustRightInd w:val="0"/>
        <w:spacing w:after="0" w:line="240" w:lineRule="auto"/>
        <w:ind w:firstLine="540"/>
        <w:jc w:val="center"/>
        <w:outlineLvl w:val="0"/>
        <w:rPr>
          <w:rFonts w:ascii="Times New Roman" w:hAnsi="Times New Roman" w:cs="Times New Roman"/>
          <w:b/>
          <w:bCs/>
          <w:sz w:val="28"/>
          <w:szCs w:val="28"/>
        </w:rPr>
      </w:pPr>
      <w:bookmarkStart w:id="5" w:name="Par726"/>
      <w:bookmarkEnd w:id="5"/>
      <w:r>
        <w:rPr>
          <w:rFonts w:ascii="Times New Roman" w:hAnsi="Times New Roman" w:cs="Times New Roman"/>
          <w:b/>
          <w:bCs/>
          <w:sz w:val="28"/>
          <w:szCs w:val="28"/>
        </w:rPr>
        <w:t>Статья 4. Перечень правовых актов, подлежащих признанию утратившими силу</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приведения правовых актов в соответствие с вновь принятым федеральным законом,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перечень правовых  актов, подлежащих признанию утратившими силу, включаются: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правовые акты, подлежащие признанию утратившими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правовые акты, подлежащие признанию утратившими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Перечень правовых актов, подлежащих признанию утратившими силу, может быть самостоятельной статьей в проекте МПА, устанавливающем новое правовое регулирование, может быть самостоятельной статьей или статьями в проекте МПА о внесении изменений в правовые акты и признании утратившими силу некоторых правовых актов, а также может быть самостоятельным проектом МПА.</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Каждый правовой акт включается в перечень правовых актов, подлежащих признанию утратившими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Пример:</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пункт 2 приложения, утвержденного Решением Совета депутатов МО ...  от ... N ... "Об ...".</w:t>
      </w:r>
    </w:p>
    <w:p w:rsidR="000D417A" w:rsidRDefault="000D417A" w:rsidP="009A2B8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Если правовой акт еще не вступил в силу, а необходимость в нем отпала, применяется термин "отменить".</w:t>
      </w:r>
    </w:p>
    <w:p w:rsidR="000D417A" w:rsidRDefault="000D417A" w:rsidP="009A2B87">
      <w:pPr>
        <w:widowControl w:val="0"/>
        <w:autoSpaceDE w:val="0"/>
        <w:autoSpaceDN w:val="0"/>
        <w:adjustRightInd w:val="0"/>
        <w:spacing w:after="0" w:line="240" w:lineRule="auto"/>
        <w:ind w:left="-567"/>
        <w:jc w:val="both"/>
        <w:rPr>
          <w:rFonts w:ascii="Times New Roman" w:hAnsi="Times New Roman" w:cs="Times New Roman"/>
          <w:sz w:val="28"/>
          <w:szCs w:val="28"/>
        </w:rPr>
      </w:pPr>
    </w:p>
    <w:p w:rsidR="000D417A" w:rsidRDefault="000D417A" w:rsidP="009A2B87">
      <w:pPr>
        <w:rPr>
          <w:rFonts w:ascii="Times New Roman" w:hAnsi="Times New Roman" w:cs="Times New Roman"/>
          <w:sz w:val="28"/>
          <w:szCs w:val="28"/>
        </w:rPr>
      </w:pPr>
    </w:p>
    <w:p w:rsidR="000D417A" w:rsidRDefault="000D417A" w:rsidP="009A2B87">
      <w:pPr>
        <w:rPr>
          <w:rFonts w:ascii="Times New Roman" w:hAnsi="Times New Roman" w:cs="Times New Roman"/>
          <w:sz w:val="28"/>
          <w:szCs w:val="28"/>
        </w:rPr>
      </w:pPr>
    </w:p>
    <w:p w:rsidR="000D417A" w:rsidRDefault="000D417A">
      <w:pPr>
        <w:rPr>
          <w:rFonts w:cs="Times New Roman"/>
        </w:rPr>
      </w:pPr>
    </w:p>
    <w:sectPr w:rsidR="000D417A" w:rsidSect="00C320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0C3"/>
    <w:rsid w:val="000D417A"/>
    <w:rsid w:val="001F5349"/>
    <w:rsid w:val="003F00FF"/>
    <w:rsid w:val="004B0383"/>
    <w:rsid w:val="004D1086"/>
    <w:rsid w:val="008710C3"/>
    <w:rsid w:val="009A2B87"/>
    <w:rsid w:val="009E2000"/>
    <w:rsid w:val="00C32005"/>
    <w:rsid w:val="00CA71AF"/>
    <w:rsid w:val="00E77526"/>
    <w:rsid w:val="00F852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87"/>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A2B87"/>
    <w:rPr>
      <w:color w:val="0000FF"/>
      <w:u w:val="single"/>
    </w:rPr>
  </w:style>
  <w:style w:type="paragraph" w:customStyle="1" w:styleId="ConsPlusNonformat">
    <w:name w:val="ConsPlusNonformat"/>
    <w:uiPriority w:val="99"/>
    <w:rsid w:val="009A2B87"/>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15558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dmin\AppData\Local\Temp\Rar$DIa0.039\69.%20&#1070;&#1088;%20&#1080;%20&#1090;&#1077;&#1093;&#1085;&#1080;&#1095;%20&#1086;&#1092;&#1086;&#1088;&#1084;&#1083;&#1077;&#1085;&#1080;&#1103;%20&#1087;&#1088;&#1086;&#1077;&#1082;&#1090;&#1086;&#1074;%20&#1084;&#1091;&#1085;&#1080;&#1094;&#1080;&#1087;&#1072;&#1083;&#1100;&#1085;&#1099;&#1093;%20&#1053;&#1055;&#104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14</Pages>
  <Words>3845</Words>
  <Characters>21918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qqq</cp:lastModifiedBy>
  <cp:revision>4</cp:revision>
  <dcterms:created xsi:type="dcterms:W3CDTF">2016-11-08T04:10:00Z</dcterms:created>
  <dcterms:modified xsi:type="dcterms:W3CDTF">2016-12-02T11:28:00Z</dcterms:modified>
</cp:coreProperties>
</file>